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ведомлени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е 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ind w:firstLine="709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iCs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Настоящим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Министерство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экономического развития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Республики Хакасия</w:t>
      </w:r>
      <w:r>
        <w:rPr>
          <w:rFonts w:ascii="PT Astra Serif" w:hAnsi="PT Astra Serif" w:eastAsia="PT Astra Serif" w:cs="PT Astra Serif"/>
          <w:i/>
          <w:iCs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PT Astra Serif" w:hAnsi="PT Astra Serif" w:eastAsia="PT Astra Serif" w:cs="PT Astra Serif"/>
          <w:i/>
          <w:iCs/>
        </w:rPr>
      </w:r>
      <w:r>
        <w:rPr>
          <w:rFonts w:ascii="PT Astra Serif" w:hAnsi="PT Astra Serif" w:cs="PT Astra Serif"/>
          <w:i/>
          <w:iCs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: 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mineconom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@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r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-19.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ru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виде прикрепленного файла, заполненного по прилагаемой форме.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spacing w:after="0" w:line="240" w:lineRule="auto"/>
        <w:tabs>
          <w:tab w:val="right" w:pos="9923" w:leader="none"/>
        </w:tabs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Сроки приема предложений:</w:t>
      </w:r>
      <w:r>
        <w:rPr>
          <w:rFonts w:ascii="PT Astra Serif" w:hAnsi="PT Astra Serif" w:eastAsia="PT Astra Serif" w:cs="PT Astra Serif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23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мая 2025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года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по 23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июня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2025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года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PT Astra Serif" w:hAnsi="PT Astra Serif" w:eastAsia="PT Astra Serif" w:cs="PT Astra Serif" w:eastAsiaTheme="minorHAnsi"/>
          <w:sz w:val="26"/>
          <w:szCs w:val="26"/>
          <w:lang w:eastAsia="en-US"/>
        </w:rPr>
        <w:t xml:space="preserve">Официальном портале оценки рег</w:t>
      </w:r>
      <w:r>
        <w:rPr>
          <w:rFonts w:ascii="PT Astra Serif" w:hAnsi="PT Astra Serif" w:eastAsia="PT Astra Serif" w:cs="PT Astra Serif" w:eastAsiaTheme="minorHAnsi"/>
          <w:sz w:val="26"/>
          <w:szCs w:val="26"/>
          <w:highlight w:val="white"/>
          <w:lang w:eastAsia="en-US"/>
        </w:rPr>
        <w:t xml:space="preserve">улирующего воздействия </w:t>
        <w:br/>
        <w:t xml:space="preserve">и публичных обсуждений Республики Хакасия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PT Astra Serif" w:hAnsi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Головин Александр Андреевич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– исполняющий обязанности начальника отдела развития туризма департамента развития туризма Министерства экономического развития Республики Хакасия, тел.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(3902) 248-200 (доб. 259)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адрес электронной почты: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m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e69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@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r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-19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.ru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  <w:r>
        <w:rPr>
          <w:rFonts w:ascii="PT Astra Serif" w:hAnsi="PT Astra Serif" w:cs="PT Astra Serif"/>
          <w:sz w:val="26"/>
          <w:szCs w:val="26"/>
          <w14:ligatures w14:val="non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Описание проблемы, на решение которой направлено предлагаемое правовое регулирование: н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евозможность осуществлять региональный государственный контроль (надзор) в сфере туристской индустрии: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а) за соблюдением обязательных требований к оказанию услуг экскурсоводами (гидами), гидами-переводчиками, инструкторами-проводниками;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б) за соблюдением требований к объектам классификации в сфер туристской индустрии (средства размещения, горнолыжные трассы, пляжи).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Федеральный закон от 30.11.2024 № 436-ФЗ «О внесении изменений </w:t>
        <w:br/>
        <w:t xml:space="preserve">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в субъектах Российской Ф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едерации» изменяет подходы </w:t>
        <w:br/>
        <w:t xml:space="preserve">к классификации средств размещения, реестру классифицированных средств размещения, деятельности экскурсоводов (гидов), гидов-переводчиков, а также подходы к осуществлению государственного контроля (надзора) в сфере туристской инду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стрии.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 1 марта 2025 года экскурсоводы (гиды), гиды-переводчики должны осуществлять свою деятельность при соблюдении обязательных требований: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835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PT Astra Serif" w:hAnsi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 1 сентября 2025 года средства размещения, которые не прошли классификацию и сведения о которых не включены в единый реестр классифицированных средств размещения, обязаны приостановить заключение договоров о предоставлении услуг средства размещения, догово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ров </w:t>
        <w:br/>
        <w:t xml:space="preserve">о предоставлении гостиничных услуг, рекламу и размещение сведений </w:t>
        <w:br/>
        <w:t xml:space="preserve">о предоставлении услуг средства размещения, гостиничных услуг со дня приостановления действия классификации средства размещения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  <w14:ligatures w14:val="none"/>
        </w:rPr>
      </w:r>
      <w:r/>
    </w:p>
    <w:p>
      <w:pPr>
        <w:ind w:firstLine="709"/>
        <w:jc w:val="both"/>
        <w:spacing w:after="0"/>
        <w:rPr>
          <w:rFonts w:ascii="PT Astra Serif" w:hAnsi="PT Astra Serif" w:cs="PT Astra Serif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sz w:val="26"/>
          <w:szCs w:val="26"/>
          <w:highlight w:val="yellow"/>
        </w:rPr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</w:r>
      <w:r>
        <w:rPr>
          <w:rFonts w:ascii="PT Astra Serif" w:hAnsi="PT Astra Serif" w:cs="PT Astra Serif"/>
          <w:sz w:val="26"/>
          <w:szCs w:val="26"/>
          <w:highlight w:val="yellow"/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PT Astra Serif" w:hAnsi="PT Astra Serif" w:cs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u w:val="single"/>
              </w:rPr>
            </w:r>
            <w:r>
              <w:rPr>
                <w:rFonts w:ascii="PT Astra Serif" w:hAnsi="PT Astra Serif" w:cs="PT Astra Serif"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Пожалуйста, заполните 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  <w:lang w:eastAsia="en-US"/>
              </w:rPr>
              <w:t xml:space="preserve"> направьте данную форму по электронной почте на адрес </w:t>
            </w:r>
            <w:hyperlink r:id="rId9" w:tooltip="mailto:mineconom@r-19.ru" w:history="1">
              <w:r>
                <w:rPr>
                  <w:rStyle w:val="837"/>
                  <w:rFonts w:ascii="PT Astra Serif" w:hAnsi="PT Astra Serif" w:eastAsia="PT Astra Serif" w:cs="PT Astra Serif"/>
                  <w:color w:val="000000" w:themeColor="text1"/>
                  <w:sz w:val="26"/>
                  <w:szCs w:val="26"/>
                  <w:highlight w:val="none"/>
                  <w:u w:val="none"/>
                  <w:lang w:val="en-US"/>
                </w:rPr>
                <w:t xml:space="preserve">mineconom</w:t>
              </w:r>
              <w:r>
                <w:rPr>
                  <w:rStyle w:val="837"/>
                  <w:rFonts w:ascii="PT Astra Serif" w:hAnsi="PT Astra Serif" w:eastAsia="PT Astra Serif" w:cs="PT Astra Serif"/>
                  <w:color w:val="000000" w:themeColor="text1"/>
                  <w:sz w:val="26"/>
                  <w:szCs w:val="26"/>
                  <w:highlight w:val="none"/>
                  <w:u w:val="none"/>
                </w:rPr>
                <w:t xml:space="preserve">@</w:t>
              </w:r>
              <w:r>
                <w:rPr>
                  <w:rStyle w:val="837"/>
                  <w:rFonts w:ascii="PT Astra Serif" w:hAnsi="PT Astra Serif" w:eastAsia="PT Astra Serif" w:cs="PT Astra Serif"/>
                  <w:color w:val="000000" w:themeColor="text1"/>
                  <w:sz w:val="26"/>
                  <w:szCs w:val="26"/>
                  <w:highlight w:val="none"/>
                  <w:u w:val="none"/>
                  <w:lang w:val="en-US"/>
                </w:rPr>
                <w:t xml:space="preserve">r</w:t>
              </w:r>
              <w:r>
                <w:rPr>
                  <w:rStyle w:val="837"/>
                  <w:rFonts w:ascii="PT Astra Serif" w:hAnsi="PT Astra Serif" w:eastAsia="PT Astra Serif" w:cs="PT Astra Serif"/>
                  <w:color w:val="000000" w:themeColor="text1"/>
                  <w:sz w:val="26"/>
                  <w:szCs w:val="26"/>
                  <w:highlight w:val="none"/>
                  <w:u w:val="none"/>
                </w:rPr>
                <w:t xml:space="preserve">-19.</w:t>
              </w:r>
              <w:r>
                <w:rPr>
                  <w:rStyle w:val="837"/>
                  <w:rFonts w:ascii="PT Astra Serif" w:hAnsi="PT Astra Serif" w:eastAsia="PT Astra Serif" w:cs="PT Astra Serif"/>
                  <w:color w:val="000000" w:themeColor="text1"/>
                  <w:sz w:val="26"/>
                  <w:szCs w:val="26"/>
                  <w:highlight w:val="non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  <w:lang w:eastAsia="en-US"/>
              </w:rPr>
              <w:t xml:space="preserve">не позднее 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  <w:lang w:eastAsia="en-US"/>
              </w:rPr>
              <w:t xml:space="preserve">23.06.2025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  <w:lang w:eastAsia="en-US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  <w:lang w:eastAsia="en-US"/>
              </w:rPr>
              <w:t xml:space="preserve">Позиции, направленные 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  <w:lang w:eastAsia="en-US"/>
              </w:rPr>
              <w:t xml:space="preserve">Министерство эконом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ического развития Республики Хакасия,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835"/>
        <w:ind w:left="567"/>
        <w:spacing w:after="0" w:line="240" w:lineRule="auto"/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pStyle w:val="835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Укажите сфер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у(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Перечислите основные субъекты предприн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имательской </w:t>
        <w:br/>
        <w:t xml:space="preserve">и инвестиционной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и отрицательные).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  <w:br/>
        <w:t xml:space="preserve">с принятием нормативного правового акта (в денежном эквиваленте)? Какие </w:t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из указанных издержек Вы считаете необоснованными (избыточными, дублирующими)?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5"/>
        <w:ind w:left="0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br/>
        <w:t xml:space="preserve">их в форме следующей таблицы: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qFormat/>
    <w:pPr>
      <w:contextualSpacing/>
      <w:ind w:left="720"/>
    </w:pPr>
  </w:style>
  <w:style w:type="paragraph" w:styleId="83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7">
    <w:name w:val="Hyperlink"/>
    <w:rPr>
      <w:color w:val="0000ff"/>
      <w:u w:val="single"/>
    </w:rPr>
  </w:style>
  <w:style w:type="paragraph" w:styleId="838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2022-03-28T02:57:00Z</dcterms:created>
  <dcterms:modified xsi:type="dcterms:W3CDTF">2025-05-23T05:37:39Z</dcterms:modified>
</cp:coreProperties>
</file>